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3B" w:rsidRPr="005D0288" w:rsidRDefault="00EB59EE" w:rsidP="00F77FAE">
      <w:pPr>
        <w:pStyle w:val="a4"/>
        <w:spacing w:beforeLines="50" w:afterLines="50"/>
        <w:ind w:leftChars="0" w:left="0"/>
        <w:jc w:val="center"/>
        <w:rPr>
          <w:rFonts w:ascii="華康勘亭流(P)" w:eastAsia="華康勘亭流(P)" w:hAnsi="標楷體"/>
          <w:b/>
          <w:bCs/>
          <w:color w:val="000000"/>
          <w:sz w:val="52"/>
          <w:szCs w:val="50"/>
        </w:rPr>
      </w:pPr>
      <w:r w:rsidRPr="005D0288">
        <w:rPr>
          <w:rFonts w:ascii="華康勘亭流(P)" w:eastAsia="華康勘亭流(P)" w:hAnsi="標楷體" w:hint="eastAsia"/>
          <w:b/>
          <w:bCs/>
          <w:color w:val="000000"/>
          <w:sz w:val="52"/>
          <w:szCs w:val="50"/>
        </w:rPr>
        <w:t>房市激盪五十年</w:t>
      </w:r>
    </w:p>
    <w:p w:rsidR="00EB59EE" w:rsidRPr="002013E9" w:rsidRDefault="00EB59EE" w:rsidP="00F77FAE">
      <w:pPr>
        <w:pStyle w:val="a4"/>
        <w:spacing w:beforeLines="50" w:after="100" w:afterAutospacing="1" w:line="520" w:lineRule="exact"/>
        <w:ind w:leftChars="0" w:left="0"/>
        <w:jc w:val="center"/>
        <w:rPr>
          <w:rFonts w:ascii="華康超明體(P)" w:eastAsia="華康超明體(P)" w:hAnsi="Arial" w:cs="Arial"/>
          <w:color w:val="000000"/>
          <w:sz w:val="36"/>
          <w:szCs w:val="40"/>
        </w:rPr>
      </w:pPr>
      <w:r w:rsidRPr="002013E9">
        <w:rPr>
          <w:rFonts w:ascii="華康超明體(P)" w:eastAsia="華康超明體(P)" w:hAnsi="新細明體" w:cs="Arial" w:hint="eastAsia"/>
          <w:color w:val="000000"/>
          <w:sz w:val="36"/>
          <w:szCs w:val="40"/>
        </w:rPr>
        <w:t>《</w:t>
      </w:r>
      <w:r w:rsidR="00C05D63" w:rsidRPr="002013E9">
        <w:rPr>
          <w:rFonts w:ascii="華康超明體(P)" w:eastAsia="華康超明體(P)" w:hAnsi="Arial" w:cs="Arial" w:hint="eastAsia"/>
          <w:color w:val="000000"/>
          <w:sz w:val="36"/>
          <w:szCs w:val="40"/>
        </w:rPr>
        <w:t>房價高漲的時代！！作者帶您回顧台灣房市發展歷程,</w:t>
      </w:r>
      <w:r w:rsidR="002013E9">
        <w:rPr>
          <w:rFonts w:ascii="華康超明體(P)" w:eastAsia="華康超明體(P)" w:hAnsi="Arial" w:cs="Arial"/>
          <w:color w:val="000000"/>
          <w:sz w:val="36"/>
          <w:szCs w:val="40"/>
        </w:rPr>
        <w:br/>
      </w:r>
      <w:r w:rsidR="00C05D63" w:rsidRPr="002013E9">
        <w:rPr>
          <w:rFonts w:ascii="華康超明體(P)" w:eastAsia="華康超明體(P)" w:hAnsi="Arial" w:cs="Arial" w:hint="eastAsia"/>
          <w:color w:val="000000"/>
          <w:sz w:val="36"/>
          <w:szCs w:val="40"/>
        </w:rPr>
        <w:t>藉此判讀未來房市的可能演變趨勢，掌握最佳置產與獲利契機</w:t>
      </w:r>
      <w:r w:rsidRPr="002013E9">
        <w:rPr>
          <w:rFonts w:ascii="華康超明體(P)" w:eastAsia="華康超明體(P)" w:hAnsi="Arial" w:cs="Arial" w:hint="eastAsia"/>
          <w:color w:val="000000"/>
          <w:sz w:val="36"/>
          <w:szCs w:val="40"/>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4"/>
        <w:gridCol w:w="5414"/>
      </w:tblGrid>
      <w:tr w:rsidR="000D2873" w:rsidRPr="002013E9" w:rsidTr="002013E9">
        <w:trPr>
          <w:trHeight w:val="347"/>
        </w:trPr>
        <w:tc>
          <w:tcPr>
            <w:tcW w:w="5414" w:type="dxa"/>
            <w:tcBorders>
              <w:bottom w:val="single" w:sz="4" w:space="0" w:color="auto"/>
            </w:tcBorders>
            <w:shd w:val="clear" w:color="auto" w:fill="000000" w:themeFill="text1"/>
          </w:tcPr>
          <w:p w:rsidR="000D2873" w:rsidRPr="005D0288" w:rsidRDefault="000D2873" w:rsidP="002013E9">
            <w:pPr>
              <w:spacing w:line="400" w:lineRule="exact"/>
              <w:jc w:val="both"/>
              <w:rPr>
                <w:rFonts w:ascii="華康行楷體W5" w:eastAsia="華康行楷體W5" w:hAnsi="標楷體" w:cs="Arial"/>
                <w:b/>
                <w:color w:val="FFFFFF" w:themeColor="background1"/>
                <w:sz w:val="28"/>
                <w:szCs w:val="28"/>
              </w:rPr>
            </w:pPr>
            <w:r w:rsidRPr="005D0288">
              <w:rPr>
                <w:rFonts w:ascii="華康行楷體W5" w:eastAsia="華康行楷體W5" w:hAnsi="標楷體" w:hint="eastAsia"/>
                <w:b/>
                <w:color w:val="FFFFFF" w:themeColor="background1"/>
                <w:sz w:val="28"/>
                <w:szCs w:val="28"/>
              </w:rPr>
              <w:t>2014年7月</w:t>
            </w:r>
            <w:hyperlink r:id="rId8" w:history="1">
              <w:r w:rsidRPr="005D0288">
                <w:rPr>
                  <w:rStyle w:val="a3"/>
                  <w:rFonts w:ascii="華康行楷體W5" w:eastAsia="華康行楷體W5" w:hAnsi="標楷體" w:hint="eastAsia"/>
                  <w:b/>
                  <w:color w:val="FFFFFF" w:themeColor="background1"/>
                  <w:sz w:val="28"/>
                  <w:szCs w:val="28"/>
                  <w:u w:val="none"/>
                </w:rPr>
                <w:t>財信出版</w:t>
              </w:r>
            </w:hyperlink>
            <w:r w:rsidR="002013E9" w:rsidRPr="005D0288">
              <w:rPr>
                <w:rFonts w:ascii="華康行楷體W5" w:eastAsia="華康行楷體W5" w:hAnsi="標楷體" w:hint="eastAsia"/>
                <w:b/>
                <w:color w:val="FFFFFF" w:themeColor="background1"/>
                <w:sz w:val="28"/>
                <w:szCs w:val="28"/>
              </w:rPr>
              <w:t xml:space="preserve"> </w:t>
            </w:r>
            <w:r w:rsidRPr="005D0288">
              <w:rPr>
                <w:rFonts w:ascii="華康行楷體W5" w:eastAsia="華康行楷體W5" w:hAnsi="標楷體" w:hint="eastAsia"/>
                <w:b/>
                <w:color w:val="FFFFFF" w:themeColor="background1"/>
                <w:sz w:val="28"/>
                <w:szCs w:val="28"/>
              </w:rPr>
              <w:t>/</w:t>
            </w:r>
            <w:r w:rsidR="00353F70" w:rsidRPr="005D0288">
              <w:rPr>
                <w:rFonts w:ascii="華康行楷體W5" w:eastAsia="華康行楷體W5" w:hAnsi="標楷體" w:hint="eastAsia"/>
                <w:b/>
                <w:color w:val="FFFFFF" w:themeColor="background1"/>
                <w:sz w:val="28"/>
                <w:szCs w:val="28"/>
              </w:rPr>
              <w:t xml:space="preserve"> </w:t>
            </w:r>
            <w:r w:rsidRPr="005D0288">
              <w:rPr>
                <w:rFonts w:ascii="華康行楷體W5" w:eastAsia="華康行楷體W5" w:hAnsi="標楷體" w:hint="eastAsia"/>
                <w:b/>
                <w:color w:val="FFFFFF" w:themeColor="background1"/>
                <w:sz w:val="28"/>
                <w:szCs w:val="28"/>
              </w:rPr>
              <w:t>作者：卓輝華</w:t>
            </w:r>
          </w:p>
        </w:tc>
        <w:tc>
          <w:tcPr>
            <w:tcW w:w="5414" w:type="dxa"/>
            <w:tcBorders>
              <w:bottom w:val="single" w:sz="4" w:space="0" w:color="auto"/>
            </w:tcBorders>
            <w:shd w:val="clear" w:color="auto" w:fill="000000" w:themeFill="text1"/>
          </w:tcPr>
          <w:p w:rsidR="000D2873" w:rsidRPr="001E7396" w:rsidRDefault="005D0288" w:rsidP="002013E9">
            <w:pPr>
              <w:spacing w:line="400" w:lineRule="exact"/>
              <w:jc w:val="both"/>
              <w:rPr>
                <w:rFonts w:ascii="華康行楷體W5" w:eastAsia="華康行楷體W5" w:hAnsi="標楷體"/>
                <w:b/>
                <w:color w:val="FFFFFF" w:themeColor="background1"/>
                <w:sz w:val="28"/>
                <w:szCs w:val="28"/>
              </w:rPr>
            </w:pPr>
            <w:r w:rsidRPr="005D0288">
              <w:rPr>
                <w:rFonts w:ascii="華康行楷體W5" w:eastAsia="華康行楷體W5" w:hAnsi="標楷體" w:hint="eastAsia"/>
                <w:b/>
                <w:color w:val="FFFFFF" w:themeColor="background1"/>
                <w:sz w:val="28"/>
                <w:szCs w:val="28"/>
              </w:rPr>
              <w:t xml:space="preserve">/ </w:t>
            </w:r>
            <w:r w:rsidRPr="001E7396">
              <w:rPr>
                <w:rFonts w:ascii="華康行楷體W5" w:eastAsia="華康行楷體W5" w:hAnsi="標楷體" w:hint="eastAsia"/>
                <w:b/>
                <w:color w:val="FFFFFF" w:themeColor="background1"/>
                <w:sz w:val="28"/>
                <w:szCs w:val="28"/>
              </w:rPr>
              <w:t>定價：450元        各大書局皆有販售</w:t>
            </w:r>
          </w:p>
        </w:tc>
      </w:tr>
      <w:tr w:rsidR="002013E9" w:rsidRPr="00AA1010" w:rsidTr="002013E9">
        <w:trPr>
          <w:trHeight w:val="7377"/>
        </w:trPr>
        <w:tc>
          <w:tcPr>
            <w:tcW w:w="5414" w:type="dxa"/>
            <w:tcBorders>
              <w:top w:val="single" w:sz="4" w:space="0" w:color="auto"/>
            </w:tcBorders>
          </w:tcPr>
          <w:p w:rsidR="002013E9" w:rsidRPr="005D0288" w:rsidRDefault="002013E9" w:rsidP="002013E9">
            <w:pPr>
              <w:jc w:val="both"/>
              <w:rPr>
                <w:rFonts w:ascii="全真顏體" w:eastAsia="全真顏體" w:hAnsi="標楷體"/>
                <w:b/>
              </w:rPr>
            </w:pPr>
            <w:r w:rsidRPr="005D0288">
              <w:rPr>
                <w:rFonts w:ascii="全真顏體" w:eastAsia="全真顏體" w:hint="eastAsia"/>
                <w:b/>
                <w:noProof/>
                <w:sz w:val="22"/>
              </w:rPr>
              <w:drawing>
                <wp:anchor distT="0" distB="0" distL="114300" distR="114300" simplePos="0" relativeHeight="251661312" behindDoc="0" locked="0" layoutInCell="1" allowOverlap="1">
                  <wp:simplePos x="0" y="0"/>
                  <wp:positionH relativeFrom="column">
                    <wp:posOffset>20320</wp:posOffset>
                  </wp:positionH>
                  <wp:positionV relativeFrom="paragraph">
                    <wp:posOffset>86995</wp:posOffset>
                  </wp:positionV>
                  <wp:extent cx="3209925" cy="4373880"/>
                  <wp:effectExtent l="19050" t="0" r="9525" b="0"/>
                  <wp:wrapSquare wrapText="bothSides"/>
                  <wp:docPr id="1" name="圖片 1" descr="正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正面.jpg"/>
                          <pic:cNvPicPr>
                            <a:picLocks noChangeAspect="1" noChangeArrowheads="1"/>
                          </pic:cNvPicPr>
                        </pic:nvPicPr>
                        <pic:blipFill>
                          <a:blip r:embed="rId9" cstate="print"/>
                          <a:srcRect/>
                          <a:stretch>
                            <a:fillRect/>
                          </a:stretch>
                        </pic:blipFill>
                        <pic:spPr bwMode="auto">
                          <a:xfrm>
                            <a:off x="0" y="0"/>
                            <a:ext cx="3209925" cy="4373880"/>
                          </a:xfrm>
                          <a:prstGeom prst="rect">
                            <a:avLst/>
                          </a:prstGeom>
                          <a:noFill/>
                        </pic:spPr>
                      </pic:pic>
                    </a:graphicData>
                  </a:graphic>
                </wp:anchor>
              </w:drawing>
            </w:r>
            <w:r w:rsidR="00AA1010" w:rsidRPr="005D0288">
              <w:rPr>
                <w:rFonts w:ascii="全真顏體" w:eastAsia="全真顏體" w:hAnsi="標楷體" w:hint="eastAsia"/>
                <w:b/>
              </w:rPr>
              <w:t xml:space="preserve"> </w:t>
            </w:r>
          </w:p>
        </w:tc>
        <w:tc>
          <w:tcPr>
            <w:tcW w:w="5414" w:type="dxa"/>
            <w:tcBorders>
              <w:top w:val="single" w:sz="4" w:space="0" w:color="auto"/>
            </w:tcBorders>
          </w:tcPr>
          <w:p w:rsidR="002013E9" w:rsidRPr="005D0288" w:rsidRDefault="002013E9" w:rsidP="00F77FAE">
            <w:pPr>
              <w:pStyle w:val="a4"/>
              <w:numPr>
                <w:ilvl w:val="0"/>
                <w:numId w:val="1"/>
              </w:numPr>
              <w:spacing w:beforeLines="50" w:afterLines="50"/>
              <w:ind w:leftChars="0" w:hangingChars="200"/>
              <w:jc w:val="both"/>
              <w:rPr>
                <w:rFonts w:ascii="標楷體" w:eastAsia="標楷體" w:hAnsi="標楷體" w:cs="Arial"/>
                <w:b/>
                <w:color w:val="000000"/>
              </w:rPr>
            </w:pPr>
            <w:r w:rsidRPr="005D0288">
              <w:rPr>
                <w:rFonts w:ascii="標楷體" w:eastAsia="標楷體" w:hAnsi="標楷體" w:hint="eastAsia"/>
                <w:b/>
                <w:bCs/>
                <w:color w:val="000000"/>
              </w:rPr>
              <w:t>回首台灣房市過去五十年的發展，各都會區房價與營建類股的股價幾度大幅起落，這段歷程能帶給我們什麼樣的自住置產與投資啟示？作為全台灣最資深的估價師之一，中華民國不動產估價師公會全國聯合會</w:t>
            </w:r>
            <w:bookmarkStart w:id="0" w:name="_GoBack"/>
            <w:bookmarkEnd w:id="0"/>
            <w:r w:rsidRPr="005D0288">
              <w:rPr>
                <w:rFonts w:ascii="標楷體" w:eastAsia="標楷體" w:hAnsi="標楷體" w:hint="eastAsia"/>
                <w:b/>
                <w:bCs/>
                <w:color w:val="000000"/>
              </w:rPr>
              <w:t>創會理事長卓輝華在二十餘年前就曾針對台灣房市發展提出專書進行分析，一度是房市從業人員與大學相關系所人手一本的不動產聖經。</w:t>
            </w:r>
          </w:p>
          <w:p w:rsidR="002013E9" w:rsidRPr="005D0288" w:rsidRDefault="002013E9" w:rsidP="00F77FAE">
            <w:pPr>
              <w:pStyle w:val="a4"/>
              <w:numPr>
                <w:ilvl w:val="0"/>
                <w:numId w:val="1"/>
              </w:numPr>
              <w:spacing w:beforeLines="50" w:afterLines="50"/>
              <w:ind w:leftChars="0" w:hangingChars="200"/>
              <w:jc w:val="both"/>
              <w:rPr>
                <w:rFonts w:ascii="標楷體" w:eastAsia="標楷體" w:hAnsi="標楷體" w:cs="Arial"/>
                <w:b/>
                <w:color w:val="000000"/>
              </w:rPr>
            </w:pPr>
            <w:r w:rsidRPr="005D0288">
              <w:rPr>
                <w:rFonts w:ascii="標楷體" w:eastAsia="標楷體" w:hAnsi="標楷體" w:hint="eastAsia"/>
                <w:b/>
                <w:bCs/>
                <w:color w:val="000000"/>
              </w:rPr>
              <w:t>在2014年，卓輝華完整回顧台灣半世紀來的房市歷程，並推出新書「房市激盪五十年」帶領讀者一舉回顧1961年以來，台灣房市從台北市每坪房價三千七百元開始，經過幾波震盪，甚至度過慘淡的失落十年之後，在全球資金狂潮帶動下，出現了實價登錄每坪二百九十萬以上歷史新高房價的完整歷程。</w:t>
            </w:r>
          </w:p>
          <w:p w:rsidR="002013E9" w:rsidRPr="005D0288" w:rsidRDefault="002013E9" w:rsidP="00F77FAE">
            <w:pPr>
              <w:pStyle w:val="a4"/>
              <w:numPr>
                <w:ilvl w:val="0"/>
                <w:numId w:val="1"/>
              </w:numPr>
              <w:spacing w:beforeLines="50" w:afterLines="50"/>
              <w:ind w:leftChars="0" w:hangingChars="200"/>
              <w:rPr>
                <w:rFonts w:ascii="全真顏體" w:eastAsia="全真顏體" w:hAnsi="標楷體"/>
                <w:b/>
                <w:bCs/>
                <w:color w:val="000000"/>
                <w:sz w:val="22"/>
              </w:rPr>
            </w:pPr>
            <w:r w:rsidRPr="005D0288">
              <w:rPr>
                <w:rFonts w:ascii="標楷體" w:eastAsia="標楷體" w:hAnsi="標楷體" w:hint="eastAsia"/>
                <w:b/>
                <w:bCs/>
                <w:color w:val="000000"/>
              </w:rPr>
              <w:t>作為估價界菁英，卓輝華也同步關注地價變動帶來的影響。新書裡對作為全台房價指標的信義計劃區，在近三十年來地價上漲高達五十五倍等土地價格變動情況也有分析。</w:t>
            </w:r>
          </w:p>
        </w:tc>
      </w:tr>
      <w:tr w:rsidR="000D2873" w:rsidRPr="00AA1010" w:rsidTr="00353F70">
        <w:trPr>
          <w:trHeight w:val="1764"/>
        </w:trPr>
        <w:tc>
          <w:tcPr>
            <w:tcW w:w="10828" w:type="dxa"/>
            <w:gridSpan w:val="2"/>
            <w:tcBorders>
              <w:bottom w:val="single" w:sz="4" w:space="0" w:color="FFFFFF" w:themeColor="background1"/>
            </w:tcBorders>
          </w:tcPr>
          <w:p w:rsidR="000D2873" w:rsidRPr="005D0288" w:rsidRDefault="000D2873" w:rsidP="00F77FAE">
            <w:pPr>
              <w:pStyle w:val="a4"/>
              <w:numPr>
                <w:ilvl w:val="0"/>
                <w:numId w:val="1"/>
              </w:numPr>
              <w:spacing w:afterLines="50" w:line="320" w:lineRule="exact"/>
              <w:ind w:leftChars="0" w:left="482" w:hanging="482"/>
              <w:jc w:val="both"/>
              <w:rPr>
                <w:rFonts w:ascii="標楷體" w:eastAsia="標楷體" w:hAnsi="標楷體" w:cs="Arial"/>
                <w:b/>
                <w:color w:val="000000"/>
              </w:rPr>
            </w:pPr>
            <w:r w:rsidRPr="005D0288">
              <w:rPr>
                <w:rFonts w:ascii="標楷體" w:eastAsia="標楷體" w:hAnsi="標楷體" w:hint="eastAsia"/>
                <w:b/>
                <w:bCs/>
                <w:color w:val="000000"/>
              </w:rPr>
              <w:t>此外，包括預售制度的崛起，營建類上市上櫃公司的浮沈，不動產證券化，北中南都會核心區的發展，以及房市景氣循環與相關政策演變，書中都有深度分析評論。</w:t>
            </w:r>
          </w:p>
          <w:p w:rsidR="002013E9" w:rsidRPr="005D0288" w:rsidRDefault="000D2873" w:rsidP="00F77FAE">
            <w:pPr>
              <w:pStyle w:val="a4"/>
              <w:numPr>
                <w:ilvl w:val="0"/>
                <w:numId w:val="1"/>
              </w:numPr>
              <w:spacing w:beforeLines="50" w:afterLines="50" w:line="320" w:lineRule="exact"/>
              <w:ind w:leftChars="0" w:left="482" w:hanging="482"/>
              <w:jc w:val="both"/>
              <w:rPr>
                <w:rFonts w:ascii="全真顏體" w:eastAsia="全真顏體" w:hAnsi="Arial" w:cs="Arial"/>
                <w:b/>
                <w:color w:val="000000"/>
              </w:rPr>
            </w:pPr>
            <w:r w:rsidRPr="005D0288">
              <w:rPr>
                <w:rFonts w:ascii="標楷體" w:eastAsia="標楷體" w:hAnsi="標楷體" w:hint="eastAsia"/>
                <w:b/>
                <w:bCs/>
                <w:color w:val="000000"/>
              </w:rPr>
              <w:t>在房價高漲的時代，透過卓輝華深刻觀察與回顧台灣房市發展歷程，不僅能夠讓民眾了解過去房市各種變化的原因，更能藉此判讀未來房市的可能演變趨勢，掌握最佳置產與獲利契機，成為高房價時代裡，人人必讀的房地產關鍵訊息。</w:t>
            </w:r>
          </w:p>
        </w:tc>
      </w:tr>
      <w:tr w:rsidR="000D2873" w:rsidRPr="00AA1010" w:rsidTr="003E417C">
        <w:trPr>
          <w:trHeight w:val="699"/>
        </w:trPr>
        <w:tc>
          <w:tcPr>
            <w:tcW w:w="5414" w:type="dxa"/>
            <w:tcBorders>
              <w:top w:val="single" w:sz="4" w:space="0" w:color="FFFFFF" w:themeColor="background1"/>
              <w:right w:val="single" w:sz="4" w:space="0" w:color="FFFFFF" w:themeColor="background1"/>
            </w:tcBorders>
            <w:shd w:val="clear" w:color="auto" w:fill="C4BC96" w:themeFill="background2" w:themeFillShade="BF"/>
          </w:tcPr>
          <w:p w:rsidR="000D2873" w:rsidRPr="00AA1010" w:rsidRDefault="000D2873" w:rsidP="00F77FAE">
            <w:pPr>
              <w:snapToGrid w:val="0"/>
              <w:spacing w:beforeLines="20" w:afterLines="20"/>
              <w:rPr>
                <w:rFonts w:ascii="全真顏體" w:eastAsia="全真顏體" w:hAnsi="新細明體"/>
                <w:sz w:val="28"/>
                <w:szCs w:val="26"/>
              </w:rPr>
            </w:pPr>
            <w:r w:rsidRPr="00AA1010">
              <w:rPr>
                <w:rFonts w:ascii="全真顏體" w:eastAsia="全真顏體" w:hAnsi="新細明體" w:hint="eastAsia"/>
                <w:sz w:val="28"/>
                <w:szCs w:val="26"/>
              </w:rPr>
              <w:t>目錄</w:t>
            </w:r>
          </w:p>
          <w:p w:rsidR="000D2873" w:rsidRPr="00AA1010" w:rsidRDefault="000D2873" w:rsidP="00F77FAE">
            <w:pPr>
              <w:pStyle w:val="a4"/>
              <w:numPr>
                <w:ilvl w:val="0"/>
                <w:numId w:val="5"/>
              </w:numPr>
              <w:snapToGrid w:val="0"/>
              <w:spacing w:beforeLines="20" w:afterLines="20"/>
              <w:ind w:leftChars="0"/>
              <w:jc w:val="both"/>
              <w:rPr>
                <w:rFonts w:ascii="全真顏體" w:eastAsia="全真顏體" w:hAnsi="標楷體"/>
                <w:bCs/>
              </w:rPr>
            </w:pPr>
            <w:r w:rsidRPr="00AA1010">
              <w:rPr>
                <w:rFonts w:ascii="全真顏體" w:eastAsia="全真顏體" w:hAnsi="標楷體" w:hint="eastAsia"/>
                <w:bCs/>
              </w:rPr>
              <w:t>第一章1970年之前的市場初創期</w:t>
            </w:r>
          </w:p>
          <w:p w:rsidR="000D2873" w:rsidRPr="00AA1010" w:rsidRDefault="000D2873" w:rsidP="00F77FAE">
            <w:pPr>
              <w:pStyle w:val="a4"/>
              <w:numPr>
                <w:ilvl w:val="0"/>
                <w:numId w:val="5"/>
              </w:numPr>
              <w:snapToGrid w:val="0"/>
              <w:spacing w:beforeLines="20" w:afterLines="20"/>
              <w:ind w:leftChars="0"/>
              <w:jc w:val="both"/>
              <w:rPr>
                <w:rFonts w:ascii="全真顏體" w:eastAsia="全真顏體" w:hAnsi="標楷體"/>
                <w:bCs/>
              </w:rPr>
            </w:pPr>
            <w:r w:rsidRPr="00AA1010">
              <w:rPr>
                <w:rFonts w:ascii="全真顏體" w:eastAsia="全真顏體" w:hAnsi="標楷體" w:hint="eastAsia"/>
                <w:bCs/>
              </w:rPr>
              <w:t>第二章 兩次能源危機時的市場成長期</w:t>
            </w:r>
          </w:p>
          <w:p w:rsidR="000D2873" w:rsidRPr="00AA1010" w:rsidRDefault="000D2873" w:rsidP="00F77FAE">
            <w:pPr>
              <w:pStyle w:val="a4"/>
              <w:numPr>
                <w:ilvl w:val="0"/>
                <w:numId w:val="5"/>
              </w:numPr>
              <w:snapToGrid w:val="0"/>
              <w:spacing w:beforeLines="20" w:afterLines="20"/>
              <w:ind w:leftChars="0"/>
              <w:jc w:val="both"/>
              <w:rPr>
                <w:rFonts w:ascii="全真顏體" w:eastAsia="全真顏體" w:hAnsi="標楷體"/>
                <w:bCs/>
              </w:rPr>
            </w:pPr>
            <w:r w:rsidRPr="00AA1010">
              <w:rPr>
                <w:rFonts w:ascii="全真顏體" w:eastAsia="全真顏體" w:hAnsi="標楷體" w:hint="eastAsia"/>
                <w:bCs/>
              </w:rPr>
              <w:t>第三章 經濟政治解嚴後的市場狂飆期</w:t>
            </w:r>
          </w:p>
          <w:p w:rsidR="000D2873" w:rsidRPr="00AA1010" w:rsidRDefault="000D2873" w:rsidP="00F77FAE">
            <w:pPr>
              <w:pStyle w:val="a4"/>
              <w:numPr>
                <w:ilvl w:val="0"/>
                <w:numId w:val="5"/>
              </w:numPr>
              <w:snapToGrid w:val="0"/>
              <w:spacing w:beforeLines="20" w:afterLines="20"/>
              <w:ind w:leftChars="0"/>
              <w:jc w:val="both"/>
              <w:rPr>
                <w:rFonts w:ascii="全真顏體" w:eastAsia="全真顏體" w:hAnsi="標楷體"/>
                <w:bCs/>
              </w:rPr>
            </w:pPr>
            <w:r w:rsidRPr="00AA1010">
              <w:rPr>
                <w:rFonts w:ascii="全真顏體" w:eastAsia="全真顏體" w:hAnsi="標楷體" w:hint="eastAsia"/>
                <w:bCs/>
              </w:rPr>
              <w:t>第四章 房地產泡沫與失落的十年</w:t>
            </w:r>
          </w:p>
          <w:p w:rsidR="000D2873" w:rsidRPr="00AA1010" w:rsidRDefault="000D2873" w:rsidP="00F77FAE">
            <w:pPr>
              <w:pStyle w:val="a4"/>
              <w:numPr>
                <w:ilvl w:val="0"/>
                <w:numId w:val="5"/>
              </w:numPr>
              <w:snapToGrid w:val="0"/>
              <w:spacing w:beforeLines="20" w:afterLines="20"/>
              <w:ind w:leftChars="0"/>
              <w:jc w:val="both"/>
              <w:rPr>
                <w:rFonts w:ascii="全真顏體" w:eastAsia="全真顏體" w:hAnsi="標楷體"/>
                <w:bCs/>
              </w:rPr>
            </w:pPr>
            <w:r w:rsidRPr="00AA1010">
              <w:rPr>
                <w:rFonts w:ascii="全真顏體" w:eastAsia="全真顏體" w:hAnsi="標楷體" w:hint="eastAsia"/>
                <w:bCs/>
              </w:rPr>
              <w:t>第五章 高房價 民怨之首</w:t>
            </w:r>
          </w:p>
          <w:p w:rsidR="000D2873" w:rsidRPr="00AA1010" w:rsidRDefault="00AA1010" w:rsidP="00F77FAE">
            <w:pPr>
              <w:pStyle w:val="a4"/>
              <w:numPr>
                <w:ilvl w:val="0"/>
                <w:numId w:val="5"/>
              </w:numPr>
              <w:snapToGrid w:val="0"/>
              <w:spacing w:beforeLines="20" w:afterLines="20"/>
              <w:ind w:leftChars="0"/>
              <w:jc w:val="both"/>
              <w:rPr>
                <w:rFonts w:ascii="全真顏體" w:eastAsia="全真顏體" w:hAnsi="標楷體"/>
                <w:bCs/>
              </w:rPr>
            </w:pPr>
            <w:r w:rsidRPr="00AA1010">
              <w:rPr>
                <w:rFonts w:ascii="全真顏體" w:eastAsia="全真顏體" w:hAnsi="標楷體" w:hint="eastAsia"/>
                <w:bCs/>
              </w:rPr>
              <w:t>第六章 台灣房價還會繼續上漲嗎？</w:t>
            </w:r>
          </w:p>
        </w:tc>
        <w:tc>
          <w:tcPr>
            <w:tcW w:w="5414" w:type="dxa"/>
            <w:tcBorders>
              <w:top w:val="single" w:sz="4" w:space="0" w:color="FFFFFF" w:themeColor="background1"/>
              <w:left w:val="single" w:sz="4" w:space="0" w:color="FFFFFF" w:themeColor="background1"/>
            </w:tcBorders>
            <w:shd w:val="clear" w:color="auto" w:fill="C4BC96" w:themeFill="background2" w:themeFillShade="BF"/>
          </w:tcPr>
          <w:p w:rsidR="00AA1010" w:rsidRPr="00AA1010" w:rsidRDefault="00AA1010" w:rsidP="00F77FAE">
            <w:pPr>
              <w:pStyle w:val="a4"/>
              <w:numPr>
                <w:ilvl w:val="0"/>
                <w:numId w:val="5"/>
              </w:numPr>
              <w:snapToGrid w:val="0"/>
              <w:spacing w:beforeLines="20" w:afterLines="20"/>
              <w:ind w:leftChars="0"/>
              <w:jc w:val="both"/>
              <w:rPr>
                <w:rFonts w:ascii="全真顏體" w:eastAsia="全真顏體" w:hAnsi="標楷體"/>
                <w:bCs/>
              </w:rPr>
            </w:pPr>
            <w:r w:rsidRPr="00AA1010">
              <w:rPr>
                <w:rFonts w:ascii="全真顏體" w:eastAsia="全真顏體" w:hAnsi="標楷體" w:hint="eastAsia"/>
                <w:bCs/>
              </w:rPr>
              <w:t>展望未來：兩場尖峰對談</w:t>
            </w:r>
          </w:p>
          <w:p w:rsidR="000D2873" w:rsidRPr="00AA1010" w:rsidRDefault="000D2873" w:rsidP="00F77FAE">
            <w:pPr>
              <w:pStyle w:val="a4"/>
              <w:numPr>
                <w:ilvl w:val="0"/>
                <w:numId w:val="9"/>
              </w:numPr>
              <w:snapToGrid w:val="0"/>
              <w:spacing w:beforeLines="20" w:afterLines="20"/>
              <w:ind w:leftChars="0"/>
              <w:jc w:val="both"/>
              <w:rPr>
                <w:rFonts w:ascii="全真顏體" w:eastAsia="全真顏體" w:hAnsi="標楷體"/>
                <w:bCs/>
              </w:rPr>
            </w:pPr>
            <w:r w:rsidRPr="00AA1010">
              <w:rPr>
                <w:rFonts w:ascii="全真顏體" w:eastAsia="全真顏體" w:hAnsi="標楷體" w:hint="eastAsia"/>
                <w:bCs/>
              </w:rPr>
              <w:t>關於尖峰對談尖峰對談一“六都”上路從根改變房市發展軸線</w:t>
            </w:r>
          </w:p>
          <w:p w:rsidR="000D2873" w:rsidRPr="00AA1010" w:rsidRDefault="000D2873" w:rsidP="00F77FAE">
            <w:pPr>
              <w:pStyle w:val="a4"/>
              <w:numPr>
                <w:ilvl w:val="0"/>
                <w:numId w:val="9"/>
              </w:numPr>
              <w:snapToGrid w:val="0"/>
              <w:spacing w:beforeLines="20" w:afterLines="20"/>
              <w:ind w:leftChars="0"/>
              <w:jc w:val="both"/>
              <w:rPr>
                <w:rFonts w:ascii="全真顏體" w:eastAsia="全真顏體" w:hAnsi="標楷體"/>
                <w:bCs/>
              </w:rPr>
            </w:pPr>
            <w:r w:rsidRPr="00AA1010">
              <w:rPr>
                <w:rFonts w:ascii="全真顏體" w:eastAsia="全真顏體" w:hAnsi="標楷體" w:hint="eastAsia"/>
                <w:bCs/>
              </w:rPr>
              <w:t>尖峰對談二 港島</w:t>
            </w:r>
            <w:r w:rsidRPr="00AA1010">
              <w:rPr>
                <w:rFonts w:ascii="全真顏體" w:eastAsia="華康行楷體W5" w:hAnsi="標楷體" w:hint="eastAsia"/>
                <w:bCs/>
              </w:rPr>
              <w:t>＂</w:t>
            </w:r>
            <w:r w:rsidRPr="00AA1010">
              <w:rPr>
                <w:rFonts w:ascii="全真顏體" w:eastAsia="全真顏體" w:hAnsi="標楷體" w:hint="eastAsia"/>
                <w:bCs/>
              </w:rPr>
              <w:t>CEPA</w:t>
            </w:r>
            <w:r w:rsidRPr="00AA1010">
              <w:rPr>
                <w:rFonts w:ascii="全真顏體" w:eastAsia="華康行楷體W5" w:hAnsi="標楷體" w:hint="eastAsia"/>
                <w:bCs/>
              </w:rPr>
              <w:t>＂</w:t>
            </w:r>
            <w:r w:rsidRPr="00AA1010">
              <w:rPr>
                <w:rFonts w:ascii="全真顏體" w:eastAsia="全真顏體" w:hAnsi="標楷體" w:hint="eastAsia"/>
                <w:bCs/>
              </w:rPr>
              <w:t>效應是否隨</w:t>
            </w:r>
            <w:r w:rsidRPr="00AA1010">
              <w:rPr>
                <w:rFonts w:ascii="全真顏體" w:eastAsia="華康行楷體W5" w:hAnsi="標楷體" w:hint="eastAsia"/>
                <w:bCs/>
              </w:rPr>
              <w:t>＂</w:t>
            </w:r>
            <w:r w:rsidRPr="00AA1010">
              <w:rPr>
                <w:rFonts w:ascii="全真顏體" w:eastAsia="全真顏體" w:hAnsi="標楷體" w:hint="eastAsia"/>
                <w:bCs/>
              </w:rPr>
              <w:t>ECFA</w:t>
            </w:r>
            <w:r w:rsidRPr="00AA1010">
              <w:rPr>
                <w:rFonts w:ascii="全真顏體" w:eastAsia="華康行楷體W5" w:hAnsi="標楷體" w:hint="eastAsia"/>
                <w:bCs/>
              </w:rPr>
              <w:t>＂</w:t>
            </w:r>
            <w:r w:rsidRPr="00AA1010">
              <w:rPr>
                <w:rFonts w:ascii="全真顏體" w:eastAsia="全真顏體" w:hAnsi="標楷體" w:hint="eastAsia"/>
                <w:bCs/>
              </w:rPr>
              <w:t>重現台灣？</w:t>
            </w:r>
          </w:p>
        </w:tc>
      </w:tr>
    </w:tbl>
    <w:p w:rsidR="004F6591" w:rsidRPr="00AA1010" w:rsidRDefault="004F6591" w:rsidP="00353F70">
      <w:pPr>
        <w:pStyle w:val="a4"/>
        <w:spacing w:line="20" w:lineRule="exact"/>
        <w:ind w:leftChars="0" w:left="0"/>
        <w:jc w:val="both"/>
        <w:rPr>
          <w:rFonts w:ascii="全真顏體" w:eastAsia="全真顏體" w:hAnsi="Arial" w:cs="Arial"/>
          <w:color w:val="000000"/>
        </w:rPr>
      </w:pPr>
    </w:p>
    <w:sectPr w:rsidR="004F6591" w:rsidRPr="00AA1010" w:rsidSect="00C05D63">
      <w:pgSz w:w="11906" w:h="16838" w:code="9"/>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F63" w:rsidRDefault="007E1F63" w:rsidP="00CB243B">
      <w:r>
        <w:separator/>
      </w:r>
    </w:p>
  </w:endnote>
  <w:endnote w:type="continuationSeparator" w:id="0">
    <w:p w:rsidR="007E1F63" w:rsidRDefault="007E1F63" w:rsidP="00CB24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華康勘亭流(P)">
    <w:altName w:val="Arial Unicode MS"/>
    <w:panose1 w:val="02010600010101010101"/>
    <w:charset w:val="88"/>
    <w:family w:val="auto"/>
    <w:pitch w:val="variable"/>
    <w:sig w:usb0="80000001" w:usb1="28091800" w:usb2="00000016" w:usb3="00000000" w:csb0="00100000" w:csb1="00000000"/>
  </w:font>
  <w:font w:name="華康超明體(P)">
    <w:altName w:val="Arial Unicode MS"/>
    <w:panose1 w:val="02010600010101010101"/>
    <w:charset w:val="88"/>
    <w:family w:val="auto"/>
    <w:pitch w:val="variable"/>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華康行楷體W5">
    <w:altName w:val="Arial Unicode MS"/>
    <w:charset w:val="88"/>
    <w:family w:val="script"/>
    <w:pitch w:val="fixed"/>
    <w:sig w:usb0="00000000" w:usb1="28091800" w:usb2="00000016" w:usb3="00000000" w:csb0="00100000" w:csb1="00000000"/>
  </w:font>
  <w:font w:name="全真顏體">
    <w:altName w:val="Arial Unicode MS"/>
    <w:panose1 w:val="02010609000101010101"/>
    <w:charset w:val="88"/>
    <w:family w:val="modern"/>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F63" w:rsidRDefault="007E1F63" w:rsidP="00CB243B">
      <w:r>
        <w:separator/>
      </w:r>
    </w:p>
  </w:footnote>
  <w:footnote w:type="continuationSeparator" w:id="0">
    <w:p w:rsidR="007E1F63" w:rsidRDefault="007E1F63" w:rsidP="00CB2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A058"/>
      </v:shape>
    </w:pict>
  </w:numPicBullet>
  <w:abstractNum w:abstractNumId="0">
    <w:nsid w:val="156C0698"/>
    <w:multiLevelType w:val="hybridMultilevel"/>
    <w:tmpl w:val="2A3CC7DA"/>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5714C41"/>
    <w:multiLevelType w:val="hybridMultilevel"/>
    <w:tmpl w:val="10B44CC8"/>
    <w:lvl w:ilvl="0" w:tplc="04090005">
      <w:start w:val="1"/>
      <w:numFmt w:val="bullet"/>
      <w:lvlText w:val=""/>
      <w:lvlJc w:val="left"/>
      <w:pPr>
        <w:ind w:left="956" w:hanging="480"/>
      </w:pPr>
      <w:rPr>
        <w:rFonts w:ascii="Wingdings" w:hAnsi="Wingdings" w:hint="default"/>
      </w:rPr>
    </w:lvl>
    <w:lvl w:ilvl="1" w:tplc="04090005">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2">
    <w:nsid w:val="2E855548"/>
    <w:multiLevelType w:val="multilevel"/>
    <w:tmpl w:val="D814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E3451"/>
    <w:multiLevelType w:val="hybridMultilevel"/>
    <w:tmpl w:val="026E7B62"/>
    <w:lvl w:ilvl="0" w:tplc="0409000B">
      <w:start w:val="1"/>
      <w:numFmt w:val="bullet"/>
      <w:lvlText w:val=""/>
      <w:lvlJc w:val="left"/>
      <w:pPr>
        <w:ind w:left="480" w:hanging="480"/>
      </w:pPr>
      <w:rPr>
        <w:rFonts w:ascii="Wingdings" w:hAnsi="Wingdings" w:hint="default"/>
        <w:color w:val="244061" w:themeColor="accent1" w:themeShade="80"/>
      </w:rPr>
    </w:lvl>
    <w:lvl w:ilvl="1" w:tplc="982E9E24">
      <w:numFmt w:val="bullet"/>
      <w:lvlText w:val="※"/>
      <w:lvlJc w:val="left"/>
      <w:pPr>
        <w:ind w:left="840" w:hanging="360"/>
      </w:pPr>
      <w:rPr>
        <w:rFonts w:ascii="標楷體" w:eastAsia="標楷體" w:hAnsi="標楷體" w:cs="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54A2852"/>
    <w:multiLevelType w:val="hybridMultilevel"/>
    <w:tmpl w:val="3AF4FED6"/>
    <w:lvl w:ilvl="0" w:tplc="66C06260">
      <w:start w:val="1"/>
      <w:numFmt w:val="bullet"/>
      <w:lvlText w:val=""/>
      <w:lvlJc w:val="left"/>
      <w:pPr>
        <w:ind w:left="962" w:hanging="480"/>
      </w:pPr>
      <w:rPr>
        <w:rFonts w:ascii="Wingdings" w:hAnsi="Wingdings" w:hint="default"/>
        <w:color w:val="FF0000"/>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5">
    <w:nsid w:val="4A636F63"/>
    <w:multiLevelType w:val="hybridMultilevel"/>
    <w:tmpl w:val="FA786D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F2457D"/>
    <w:multiLevelType w:val="multilevel"/>
    <w:tmpl w:val="0A78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9155FD"/>
    <w:multiLevelType w:val="hybridMultilevel"/>
    <w:tmpl w:val="3AEA7D6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E6A73FA"/>
    <w:multiLevelType w:val="hybridMultilevel"/>
    <w:tmpl w:val="AC8C19AA"/>
    <w:lvl w:ilvl="0" w:tplc="7AC07A14">
      <w:start w:val="1"/>
      <w:numFmt w:val="bullet"/>
      <w:lvlText w:val="◎"/>
      <w:lvlJc w:val="left"/>
      <w:pPr>
        <w:ind w:left="480" w:hanging="480"/>
      </w:pPr>
      <w:rPr>
        <w:rFonts w:ascii="標楷體" w:eastAsia="標楷體" w:hAnsi="標楷體"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6"/>
  </w:num>
  <w:num w:numId="3">
    <w:abstractNumId w:val="2"/>
  </w:num>
  <w:num w:numId="4">
    <w:abstractNumId w:val="4"/>
  </w:num>
  <w:num w:numId="5">
    <w:abstractNumId w:val="3"/>
  </w:num>
  <w:num w:numId="6">
    <w:abstractNumId w:val="1"/>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7E5"/>
    <w:rsid w:val="000D2873"/>
    <w:rsid w:val="00171F05"/>
    <w:rsid w:val="001C151F"/>
    <w:rsid w:val="001E7396"/>
    <w:rsid w:val="002013E9"/>
    <w:rsid w:val="003009E7"/>
    <w:rsid w:val="00331F9D"/>
    <w:rsid w:val="00353F70"/>
    <w:rsid w:val="00386EB2"/>
    <w:rsid w:val="003E417C"/>
    <w:rsid w:val="004215C7"/>
    <w:rsid w:val="00475DA5"/>
    <w:rsid w:val="004F6591"/>
    <w:rsid w:val="00575A4B"/>
    <w:rsid w:val="00576BA6"/>
    <w:rsid w:val="005D0288"/>
    <w:rsid w:val="00613EEB"/>
    <w:rsid w:val="006426C2"/>
    <w:rsid w:val="006920A6"/>
    <w:rsid w:val="006C0C73"/>
    <w:rsid w:val="007A7DC2"/>
    <w:rsid w:val="007E1F63"/>
    <w:rsid w:val="00845113"/>
    <w:rsid w:val="008D1F20"/>
    <w:rsid w:val="009425AA"/>
    <w:rsid w:val="00973A1D"/>
    <w:rsid w:val="00AA1010"/>
    <w:rsid w:val="00AE5850"/>
    <w:rsid w:val="00B933D8"/>
    <w:rsid w:val="00BA4C9E"/>
    <w:rsid w:val="00BC0C4C"/>
    <w:rsid w:val="00BF0B40"/>
    <w:rsid w:val="00C049E9"/>
    <w:rsid w:val="00C05D63"/>
    <w:rsid w:val="00CB243B"/>
    <w:rsid w:val="00CF4D04"/>
    <w:rsid w:val="00D357B4"/>
    <w:rsid w:val="00D9776F"/>
    <w:rsid w:val="00E14910"/>
    <w:rsid w:val="00EB59EE"/>
    <w:rsid w:val="00EE1F56"/>
    <w:rsid w:val="00EE7FEE"/>
    <w:rsid w:val="00EF67E5"/>
    <w:rsid w:val="00F77FAE"/>
    <w:rsid w:val="00FC34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7E5"/>
    <w:rPr>
      <w:rFonts w:ascii="Franklin Gothic Book" w:eastAsia="新細明體" w:hAnsi="Franklin Gothic Book"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67E5"/>
    <w:rPr>
      <w:color w:val="00D5D5"/>
      <w:u w:val="single"/>
    </w:rPr>
  </w:style>
  <w:style w:type="paragraph" w:styleId="a4">
    <w:name w:val="List Paragraph"/>
    <w:basedOn w:val="a"/>
    <w:uiPriority w:val="34"/>
    <w:qFormat/>
    <w:rsid w:val="00EF67E5"/>
    <w:pPr>
      <w:ind w:leftChars="200" w:left="480"/>
    </w:pPr>
  </w:style>
  <w:style w:type="paragraph" w:styleId="a5">
    <w:name w:val="header"/>
    <w:basedOn w:val="a"/>
    <w:link w:val="a6"/>
    <w:uiPriority w:val="99"/>
    <w:semiHidden/>
    <w:unhideWhenUsed/>
    <w:rsid w:val="00CB243B"/>
    <w:pPr>
      <w:tabs>
        <w:tab w:val="center" w:pos="4153"/>
        <w:tab w:val="right" w:pos="8306"/>
      </w:tabs>
      <w:snapToGrid w:val="0"/>
    </w:pPr>
    <w:rPr>
      <w:sz w:val="20"/>
      <w:szCs w:val="20"/>
    </w:rPr>
  </w:style>
  <w:style w:type="character" w:customStyle="1" w:styleId="a6">
    <w:name w:val="頁首 字元"/>
    <w:basedOn w:val="a0"/>
    <w:link w:val="a5"/>
    <w:uiPriority w:val="99"/>
    <w:semiHidden/>
    <w:rsid w:val="00CB243B"/>
    <w:rPr>
      <w:rFonts w:ascii="Franklin Gothic Book" w:eastAsia="新細明體" w:hAnsi="Franklin Gothic Book" w:cs="新細明體"/>
      <w:kern w:val="0"/>
      <w:sz w:val="20"/>
      <w:szCs w:val="20"/>
    </w:rPr>
  </w:style>
  <w:style w:type="paragraph" w:styleId="a7">
    <w:name w:val="footer"/>
    <w:basedOn w:val="a"/>
    <w:link w:val="a8"/>
    <w:uiPriority w:val="99"/>
    <w:semiHidden/>
    <w:unhideWhenUsed/>
    <w:rsid w:val="00CB243B"/>
    <w:pPr>
      <w:tabs>
        <w:tab w:val="center" w:pos="4153"/>
        <w:tab w:val="right" w:pos="8306"/>
      </w:tabs>
      <w:snapToGrid w:val="0"/>
    </w:pPr>
    <w:rPr>
      <w:sz w:val="20"/>
      <w:szCs w:val="20"/>
    </w:rPr>
  </w:style>
  <w:style w:type="character" w:customStyle="1" w:styleId="a8">
    <w:name w:val="頁尾 字元"/>
    <w:basedOn w:val="a0"/>
    <w:link w:val="a7"/>
    <w:uiPriority w:val="99"/>
    <w:semiHidden/>
    <w:rsid w:val="00CB243B"/>
    <w:rPr>
      <w:rFonts w:ascii="Franklin Gothic Book" w:eastAsia="新細明體" w:hAnsi="Franklin Gothic Book" w:cs="新細明體"/>
      <w:kern w:val="0"/>
      <w:sz w:val="20"/>
      <w:szCs w:val="20"/>
    </w:rPr>
  </w:style>
  <w:style w:type="paragraph" w:styleId="a9">
    <w:name w:val="Balloon Text"/>
    <w:basedOn w:val="a"/>
    <w:link w:val="aa"/>
    <w:uiPriority w:val="99"/>
    <w:semiHidden/>
    <w:unhideWhenUsed/>
    <w:rsid w:val="004F65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F6591"/>
    <w:rPr>
      <w:rFonts w:asciiTheme="majorHAnsi" w:eastAsiaTheme="majorEastAsia" w:hAnsiTheme="majorHAnsi" w:cstheme="majorBidi"/>
      <w:kern w:val="0"/>
      <w:sz w:val="18"/>
      <w:szCs w:val="18"/>
    </w:rPr>
  </w:style>
  <w:style w:type="table" w:styleId="ab">
    <w:name w:val="Table Grid"/>
    <w:basedOn w:val="a1"/>
    <w:uiPriority w:val="59"/>
    <w:rsid w:val="000D2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853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s.com.tw/web/sys_puballb/books/?pubid=wealth1%20%20%20%20%20%20%20%20%2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6E2AA-58A8-4DB6-A5BE-5D072FA9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Company>SYNNEX</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peggy</cp:lastModifiedBy>
  <cp:revision>2</cp:revision>
  <cp:lastPrinted>2014-08-07T06:40:00Z</cp:lastPrinted>
  <dcterms:created xsi:type="dcterms:W3CDTF">2015-10-15T05:44:00Z</dcterms:created>
  <dcterms:modified xsi:type="dcterms:W3CDTF">2015-10-15T05:44:00Z</dcterms:modified>
</cp:coreProperties>
</file>